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2F" w:rsidRDefault="00D5352F" w:rsidP="00D5352F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Log-in to the system by clicking </w:t>
      </w:r>
      <w:hyperlink r:id="rId5" w:history="1">
        <w:r w:rsidRPr="00D5352F">
          <w:rPr>
            <w:rStyle w:val="Hyperlink"/>
            <w:rFonts w:asciiTheme="minorHAnsi" w:hAnsiTheme="minorHAnsi"/>
          </w:rPr>
          <w:t>here</w:t>
        </w:r>
      </w:hyperlink>
      <w:r>
        <w:rPr>
          <w:rFonts w:asciiTheme="minorHAnsi" w:hAnsiTheme="minorHAnsi"/>
        </w:rPr>
        <w:t xml:space="preserve">. </w:t>
      </w:r>
    </w:p>
    <w:p w:rsidR="00D5352F" w:rsidRDefault="00D5352F" w:rsidP="00D5352F">
      <w:pPr>
        <w:pStyle w:val="PlainText"/>
        <w:rPr>
          <w:rFonts w:asciiTheme="minorHAnsi" w:hAnsiTheme="minorHAnsi"/>
        </w:rPr>
      </w:pPr>
    </w:p>
    <w:p w:rsidR="00D5352F" w:rsidRDefault="00D5352F" w:rsidP="00D5352F">
      <w:pPr>
        <w:pStyle w:val="PlainTex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On the first page, click on “</w:t>
      </w:r>
      <w:r w:rsidRPr="00D5352F">
        <w:rPr>
          <w:rFonts w:asciiTheme="minorHAnsi" w:hAnsiTheme="minorHAnsi"/>
          <w:b/>
        </w:rPr>
        <w:t>Add a New Lab</w:t>
      </w:r>
      <w:r w:rsidR="001901F8"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On the "</w:t>
      </w:r>
      <w:r w:rsidRPr="00D5352F">
        <w:rPr>
          <w:rFonts w:asciiTheme="minorHAnsi" w:hAnsiTheme="minorHAnsi"/>
          <w:b/>
        </w:rPr>
        <w:t>Register Your Lab</w:t>
      </w:r>
      <w:r>
        <w:rPr>
          <w:rFonts w:asciiTheme="minorHAnsi" w:hAnsiTheme="minorHAnsi"/>
        </w:rPr>
        <w:t>" page, complete the form as shown. You will need to do this for each room you occupy where chemicals are stored or used.</w:t>
      </w:r>
    </w:p>
    <w:p w:rsidR="00D5352F" w:rsidRDefault="00D5352F" w:rsidP="00D5352F">
      <w:pPr>
        <w:pStyle w:val="PlainText"/>
        <w:rPr>
          <w:rFonts w:asciiTheme="minorHAnsi" w:hAnsiTheme="minorHAnsi"/>
        </w:rPr>
      </w:pPr>
    </w:p>
    <w:p w:rsidR="00D5352F" w:rsidRDefault="00D5352F" w:rsidP="00D5352F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When done, click on "</w:t>
      </w:r>
      <w:r w:rsidRPr="00D5352F">
        <w:rPr>
          <w:rFonts w:asciiTheme="minorHAnsi" w:hAnsiTheme="minorHAnsi"/>
          <w:b/>
        </w:rPr>
        <w:t>Return to Lab List</w:t>
      </w:r>
      <w:r>
        <w:rPr>
          <w:rFonts w:asciiTheme="minorHAnsi" w:hAnsiTheme="minorHAnsi"/>
        </w:rPr>
        <w:t>".</w:t>
      </w:r>
    </w:p>
    <w:p w:rsidR="00D5352F" w:rsidRDefault="00D5352F" w:rsidP="00D5352F">
      <w:pPr>
        <w:pStyle w:val="PlainText"/>
        <w:rPr>
          <w:rFonts w:asciiTheme="minorHAnsi" w:hAnsiTheme="minorHAnsi"/>
        </w:rPr>
      </w:pPr>
    </w:p>
    <w:p w:rsidR="00D5352F" w:rsidRDefault="00D5352F" w:rsidP="00D5352F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If you click on the lab you just created, the page that shows will provide a summary of the information you just entered. There are also three links:</w:t>
      </w:r>
    </w:p>
    <w:p w:rsidR="00D5352F" w:rsidRDefault="00D5352F" w:rsidP="00D5352F">
      <w:pPr>
        <w:pStyle w:val="PlainText"/>
        <w:rPr>
          <w:rFonts w:asciiTheme="minorHAnsi" w:hAnsiTheme="minorHAnsi"/>
        </w:rPr>
      </w:pPr>
    </w:p>
    <w:p w:rsidR="00D5352F" w:rsidRDefault="00D5352F" w:rsidP="00D5352F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Annual Chemical Registration</w:t>
      </w:r>
      <w:r>
        <w:rPr>
          <w:rFonts w:asciiTheme="minorHAnsi" w:hAnsiTheme="minorHAnsi"/>
        </w:rPr>
        <w:t xml:space="preserve"> – click on this to begin entering chemical information</w:t>
      </w:r>
    </w:p>
    <w:p w:rsidR="00D5352F" w:rsidRDefault="00D5352F" w:rsidP="00D5352F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Registration Summary</w:t>
      </w:r>
      <w:r>
        <w:rPr>
          <w:rFonts w:asciiTheme="minorHAnsi" w:hAnsiTheme="minorHAnsi"/>
        </w:rPr>
        <w:t xml:space="preserve"> – this will show you the complete list of all chemicals you entered; and,</w:t>
      </w:r>
    </w:p>
    <w:p w:rsidR="00D5352F" w:rsidRDefault="00D5352F" w:rsidP="00D5352F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Add user PID’s to this lab</w:t>
      </w:r>
      <w:r>
        <w:rPr>
          <w:rFonts w:asciiTheme="minorHAnsi" w:hAnsiTheme="minorHAnsi"/>
        </w:rPr>
        <w:t xml:space="preserve"> – use this feature to allow other personnel in your lab to view the information you entered.</w:t>
      </w:r>
    </w:p>
    <w:p w:rsidR="00D5352F" w:rsidRDefault="00D5352F" w:rsidP="00D5352F">
      <w:pPr>
        <w:pStyle w:val="PlainText"/>
        <w:rPr>
          <w:rFonts w:asciiTheme="minorHAnsi" w:hAnsiTheme="minorHAnsi"/>
        </w:rPr>
      </w:pPr>
    </w:p>
    <w:p w:rsidR="00D5352F" w:rsidRDefault="00D5352F" w:rsidP="00D5352F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00E8"/>
      </w:r>
      <w:r>
        <w:rPr>
          <w:rFonts w:asciiTheme="minorHAnsi" w:hAnsiTheme="minorHAnsi"/>
        </w:rPr>
        <w:t>If you wish to have a lab tech or other person enter this information on your behalf, they can do so; they’ll just need to add your PID to the list of users as outlined above so that you can view what they have entered.</w:t>
      </w:r>
    </w:p>
    <w:p w:rsidR="00D5352F" w:rsidRDefault="00D5352F" w:rsidP="00D5352F">
      <w:pPr>
        <w:pStyle w:val="PlainText"/>
        <w:rPr>
          <w:rFonts w:asciiTheme="minorHAnsi" w:hAnsiTheme="minorHAnsi"/>
        </w:rPr>
      </w:pPr>
    </w:p>
    <w:p w:rsidR="00D5352F" w:rsidRDefault="00D5352F" w:rsidP="00D5352F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00E8"/>
      </w:r>
      <w:r>
        <w:rPr>
          <w:rFonts w:asciiTheme="minorHAnsi" w:hAnsiTheme="minorHAnsi"/>
        </w:rPr>
        <w:t xml:space="preserve">There is a spreadsheet on this page that you can download which contains all the chemicals </w:t>
      </w:r>
      <w:r w:rsidR="00074B08">
        <w:rPr>
          <w:rFonts w:asciiTheme="minorHAnsi" w:hAnsiTheme="minorHAnsi"/>
        </w:rPr>
        <w:t xml:space="preserve">specifically listed </w:t>
      </w:r>
      <w:r>
        <w:rPr>
          <w:rFonts w:asciiTheme="minorHAnsi" w:hAnsiTheme="minorHAnsi"/>
        </w:rPr>
        <w:t>in the registration system.</w:t>
      </w:r>
    </w:p>
    <w:p w:rsidR="00D5352F" w:rsidRDefault="00D5352F" w:rsidP="00D5352F">
      <w:pPr>
        <w:pStyle w:val="PlainText"/>
        <w:rPr>
          <w:rFonts w:asciiTheme="minorHAnsi" w:hAnsiTheme="minorHAnsi"/>
        </w:rPr>
      </w:pPr>
    </w:p>
    <w:p w:rsidR="00D5352F" w:rsidRDefault="00D5352F" w:rsidP="00D5352F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-2238</wp:posOffset>
            </wp:positionV>
            <wp:extent cx="508543" cy="508544"/>
            <wp:effectExtent l="0" t="0" r="0" b="0"/>
            <wp:wrapTight wrapText="bothSides">
              <wp:wrapPolygon edited="0">
                <wp:start x="4855" y="0"/>
                <wp:lineTo x="6473" y="21037"/>
                <wp:lineTo x="16183" y="21037"/>
                <wp:lineTo x="16183" y="12946"/>
                <wp:lineTo x="16992" y="809"/>
                <wp:lineTo x="16992" y="0"/>
                <wp:lineTo x="4855" y="0"/>
              </wp:wrapPolygon>
            </wp:wrapTight>
            <wp:docPr id="1" name="Picture 1" descr="C:\Users\adamsz\AppData\Local\Microsoft\Windows\Temporary Internet Files\Content.IE5\W4HIK4VH\MC9004325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sz\AppData\Local\Microsoft\Windows\Temporary Internet Files\Content.IE5\W4HIK4VH\MC90043252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43" cy="50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Please note that the amounts shown on the registration summary page are converted to the units used in the Fire Code, either pounds or gallons</w:t>
      </w:r>
      <w:r w:rsidR="00CA6551">
        <w:rPr>
          <w:rFonts w:asciiTheme="minorHAnsi" w:hAnsiTheme="minorHAnsi"/>
        </w:rPr>
        <w:t xml:space="preserve"> (e.g. Metric to U.S. Standard)</w:t>
      </w:r>
      <w:r>
        <w:rPr>
          <w:rFonts w:asciiTheme="minorHAnsi" w:hAnsiTheme="minorHAnsi"/>
        </w:rPr>
        <w:t>. Th</w:t>
      </w:r>
      <w:r w:rsidR="00CA6551">
        <w:rPr>
          <w:rFonts w:asciiTheme="minorHAnsi" w:hAnsiTheme="minorHAnsi"/>
        </w:rPr>
        <w:t xml:space="preserve">is may cause final amount values to vary from what was originally reported, but this was reviewed before setting up the registration.  </w:t>
      </w:r>
    </w:p>
    <w:p w:rsidR="00D5352F" w:rsidRDefault="00D5352F" w:rsidP="00D5352F">
      <w:pPr>
        <w:pStyle w:val="PlainText"/>
        <w:rPr>
          <w:rFonts w:asciiTheme="minorHAnsi" w:hAnsiTheme="minorHAnsi"/>
        </w:rPr>
      </w:pPr>
    </w:p>
    <w:p w:rsidR="00D5352F" w:rsidRDefault="00D5352F" w:rsidP="00D5352F">
      <w:pPr>
        <w:pStyle w:val="PlainText"/>
        <w:rPr>
          <w:rFonts w:asciiTheme="minorHAnsi" w:hAnsiTheme="minorHAnsi"/>
        </w:rPr>
      </w:pPr>
      <w:r w:rsidRPr="00D5352F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508000" cy="508000"/>
            <wp:effectExtent l="0" t="0" r="0" b="0"/>
            <wp:wrapTight wrapText="bothSides">
              <wp:wrapPolygon edited="0">
                <wp:start x="4860" y="0"/>
                <wp:lineTo x="6480" y="21060"/>
                <wp:lineTo x="16200" y="21060"/>
                <wp:lineTo x="16200" y="12960"/>
                <wp:lineTo x="17010" y="810"/>
                <wp:lineTo x="17010" y="0"/>
                <wp:lineTo x="4860" y="0"/>
              </wp:wrapPolygon>
            </wp:wrapTight>
            <wp:docPr id="2" name="Picture 1" descr="C:\Users\adamsz\AppData\Local\Microsoft\Windows\Temporary Internet Files\Content.IE5\W4HIK4VH\MC9004325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sz\AppData\Local\Microsoft\Windows\Temporary Internet Files\Content.IE5\W4HIK4VH\MC90043252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Finally, since some chemicals fall into multiple hazard classes, when you enter such a chemical into the system, it will cascade across all relevant hazard classes</w:t>
      </w:r>
      <w:r w:rsidR="00CC551B">
        <w:rPr>
          <w:rFonts w:asciiTheme="minorHAnsi" w:hAnsiTheme="minorHAnsi"/>
        </w:rPr>
        <w:t>.  A</w:t>
      </w:r>
      <w:r>
        <w:rPr>
          <w:rFonts w:asciiTheme="minorHAnsi" w:hAnsiTheme="minorHAnsi"/>
        </w:rPr>
        <w:t xml:space="preserve">gain, the </w:t>
      </w:r>
      <w:r w:rsidR="008A2056">
        <w:rPr>
          <w:rFonts w:asciiTheme="minorHAnsi" w:hAnsiTheme="minorHAnsi"/>
        </w:rPr>
        <w:t xml:space="preserve">final </w:t>
      </w:r>
      <w:r>
        <w:rPr>
          <w:rFonts w:asciiTheme="minorHAnsi" w:hAnsiTheme="minorHAnsi"/>
        </w:rPr>
        <w:t xml:space="preserve">units </w:t>
      </w:r>
      <w:r w:rsidR="008A2056">
        <w:rPr>
          <w:rFonts w:asciiTheme="minorHAnsi" w:hAnsiTheme="minorHAnsi"/>
        </w:rPr>
        <w:t xml:space="preserve">in the </w:t>
      </w:r>
      <w:r w:rsidR="001901F8">
        <w:rPr>
          <w:rFonts w:asciiTheme="minorHAnsi" w:hAnsiTheme="minorHAnsi"/>
        </w:rPr>
        <w:t>Registration Su</w:t>
      </w:r>
      <w:r w:rsidR="008A2056">
        <w:rPr>
          <w:rFonts w:asciiTheme="minorHAnsi" w:hAnsiTheme="minorHAnsi"/>
        </w:rPr>
        <w:t xml:space="preserve">mmary </w:t>
      </w:r>
      <w:r w:rsidR="00CC551B">
        <w:rPr>
          <w:rFonts w:asciiTheme="minorHAnsi" w:hAnsiTheme="minorHAnsi"/>
        </w:rPr>
        <w:t xml:space="preserve">may </w:t>
      </w:r>
      <w:r w:rsidR="00357840" w:rsidRPr="00CC551B">
        <w:rPr>
          <w:rFonts w:asciiTheme="minorHAnsi" w:hAnsiTheme="minorHAnsi"/>
        </w:rPr>
        <w:t>not</w:t>
      </w:r>
      <w:r w:rsidR="00357840">
        <w:rPr>
          <w:rFonts w:asciiTheme="minorHAnsi" w:hAnsiTheme="minorHAnsi"/>
        </w:rPr>
        <w:t xml:space="preserve"> </w:t>
      </w:r>
      <w:r w:rsidR="00CC551B">
        <w:rPr>
          <w:rFonts w:asciiTheme="minorHAnsi" w:hAnsiTheme="minorHAnsi"/>
        </w:rPr>
        <w:t>e</w:t>
      </w:r>
      <w:r>
        <w:rPr>
          <w:rFonts w:asciiTheme="minorHAnsi" w:hAnsiTheme="minorHAnsi"/>
        </w:rPr>
        <w:t>xact</w:t>
      </w:r>
      <w:r w:rsidR="00357840">
        <w:rPr>
          <w:rFonts w:asciiTheme="minorHAnsi" w:hAnsiTheme="minorHAnsi"/>
        </w:rPr>
        <w:t xml:space="preserve">ly </w:t>
      </w:r>
      <w:r w:rsidR="00CC551B">
        <w:rPr>
          <w:rFonts w:asciiTheme="minorHAnsi" w:hAnsiTheme="minorHAnsi"/>
        </w:rPr>
        <w:t>match because of conversion</w:t>
      </w:r>
      <w:r w:rsidR="008A2056">
        <w:rPr>
          <w:rFonts w:asciiTheme="minorHAnsi" w:hAnsiTheme="minorHAnsi"/>
        </w:rPr>
        <w:t>s</w:t>
      </w:r>
      <w:r w:rsidR="00CC55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from a liquid volume to a weight measure</w:t>
      </w:r>
      <w:r w:rsidR="00357840">
        <w:rPr>
          <w:rFonts w:asciiTheme="minorHAnsi" w:hAnsiTheme="minorHAnsi"/>
        </w:rPr>
        <w:t xml:space="preserve"> or vice versa</w:t>
      </w:r>
      <w:r>
        <w:rPr>
          <w:rFonts w:asciiTheme="minorHAnsi" w:hAnsiTheme="minorHAnsi"/>
        </w:rPr>
        <w:t>.</w:t>
      </w:r>
    </w:p>
    <w:p w:rsidR="00F612D4" w:rsidRDefault="00F612D4"/>
    <w:sectPr w:rsidR="00F612D4" w:rsidSect="0037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7BA2"/>
    <w:multiLevelType w:val="hybridMultilevel"/>
    <w:tmpl w:val="AB4E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352F"/>
    <w:rsid w:val="00074B08"/>
    <w:rsid w:val="00187655"/>
    <w:rsid w:val="001901F8"/>
    <w:rsid w:val="00357840"/>
    <w:rsid w:val="00374BF5"/>
    <w:rsid w:val="00455811"/>
    <w:rsid w:val="0052554F"/>
    <w:rsid w:val="008A2056"/>
    <w:rsid w:val="00CA6551"/>
    <w:rsid w:val="00CC551B"/>
    <w:rsid w:val="00D5352F"/>
    <w:rsid w:val="00F6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535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52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53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uth.vt.edu/login?service=https://secure.hosting.vt.edu/www.ehss.vt.edu/programs/ChemInventory/inventory_entry.php?login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Adams</dc:creator>
  <cp:lastModifiedBy>Windows User</cp:lastModifiedBy>
  <cp:revision>5</cp:revision>
  <cp:lastPrinted>2013-09-27T12:42:00Z</cp:lastPrinted>
  <dcterms:created xsi:type="dcterms:W3CDTF">2013-10-01T15:59:00Z</dcterms:created>
  <dcterms:modified xsi:type="dcterms:W3CDTF">2013-10-01T16:06:00Z</dcterms:modified>
</cp:coreProperties>
</file>